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991697">
      <w:pPr>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C5280D">
        <w:rPr>
          <w:rFonts w:ascii="Arial" w:hAnsi="Arial" w:cs="Arial"/>
          <w:b/>
          <w:sz w:val="22"/>
          <w:szCs w:val="22"/>
          <w:u w:val="single"/>
        </w:rPr>
        <w:t>23VE</w:t>
      </w:r>
    </w:p>
    <w:p w:rsidR="003154A2" w:rsidRPr="00517824" w:rsidRDefault="003154A2" w:rsidP="003154A2">
      <w:pPr>
        <w:spacing w:before="100"/>
        <w:ind w:left="426"/>
        <w:jc w:val="center"/>
        <w:rPr>
          <w:rFonts w:ascii="Arial" w:hAnsi="Arial" w:cs="Arial"/>
          <w:b/>
          <w:sz w:val="22"/>
          <w:szCs w:val="22"/>
        </w:rPr>
      </w:pPr>
    </w:p>
    <w:p w:rsidR="003154A2" w:rsidRDefault="00C5280D" w:rsidP="003154A2">
      <w:pPr>
        <w:spacing w:before="100"/>
        <w:ind w:left="426"/>
        <w:jc w:val="center"/>
        <w:rPr>
          <w:rFonts w:ascii="Arial" w:hAnsi="Arial" w:cs="Arial"/>
          <w:b/>
          <w:sz w:val="22"/>
          <w:szCs w:val="22"/>
          <w:u w:val="single"/>
        </w:rPr>
      </w:pPr>
      <w:r w:rsidRPr="00C5280D">
        <w:rPr>
          <w:rFonts w:ascii="Arial" w:hAnsi="Arial" w:cs="Arial"/>
          <w:b/>
          <w:sz w:val="22"/>
          <w:szCs w:val="22"/>
          <w:u w:val="single"/>
        </w:rPr>
        <w:t>C22</w:t>
      </w:r>
      <w:r w:rsidR="00E82778">
        <w:rPr>
          <w:rFonts w:ascii="Arial" w:hAnsi="Arial" w:cs="Arial"/>
          <w:b/>
          <w:sz w:val="22"/>
          <w:szCs w:val="22"/>
          <w:u w:val="single"/>
        </w:rPr>
        <w:t xml:space="preserve"> </w:t>
      </w:r>
      <w:r w:rsidRPr="00C5280D">
        <w:rPr>
          <w:rFonts w:ascii="Arial" w:hAnsi="Arial" w:cs="Arial"/>
          <w:b/>
          <w:sz w:val="22"/>
          <w:szCs w:val="22"/>
          <w:u w:val="single"/>
        </w:rPr>
        <w:t xml:space="preserve">I5 </w:t>
      </w:r>
      <w:r w:rsidR="00E82778" w:rsidRPr="00C5280D">
        <w:rPr>
          <w:rFonts w:ascii="Arial" w:hAnsi="Arial" w:cs="Arial"/>
          <w:b/>
          <w:sz w:val="22"/>
          <w:szCs w:val="22"/>
          <w:u w:val="single"/>
        </w:rPr>
        <w:t>INCREMENTO DE LA CAPACIDAD Y EFICIENCIA DEL SISTEMA DE ACOGIDA DE SOLICITANTES DE ASILO</w:t>
      </w:r>
    </w:p>
    <w:p w:rsidR="00C53B2C" w:rsidRDefault="00C53B2C" w:rsidP="003154A2">
      <w:pPr>
        <w:spacing w:before="100"/>
        <w:ind w:left="426"/>
        <w:jc w:val="center"/>
        <w:rPr>
          <w:rFonts w:ascii="Arial" w:hAnsi="Arial" w:cs="Arial"/>
          <w:b/>
          <w:sz w:val="22"/>
          <w:szCs w:val="22"/>
        </w:rPr>
      </w:pPr>
    </w:p>
    <w:p w:rsidR="003154A2" w:rsidRDefault="003154A2" w:rsidP="00517824">
      <w:pPr>
        <w:spacing w:before="100"/>
        <w:ind w:left="426"/>
        <w:rPr>
          <w:rFonts w:ascii="Arial" w:hAnsi="Arial" w:cs="Arial"/>
          <w:b/>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1. </w:t>
      </w:r>
      <w:r w:rsidR="00E82778" w:rsidRPr="00517824">
        <w:rPr>
          <w:rFonts w:ascii="Arial" w:hAnsi="Arial" w:cs="Arial"/>
          <w:b/>
          <w:sz w:val="22"/>
          <w:szCs w:val="22"/>
        </w:rPr>
        <w:t xml:space="preserve">DENOMINACIÓN DEL COMPONENTE </w:t>
      </w:r>
    </w:p>
    <w:p w:rsidR="00517824" w:rsidRDefault="002D6AEA" w:rsidP="00CD1E9D">
      <w:pPr>
        <w:spacing w:before="120" w:after="120" w:line="360" w:lineRule="exact"/>
        <w:ind w:firstLine="708"/>
        <w:jc w:val="both"/>
        <w:rPr>
          <w:rFonts w:ascii="Arial" w:hAnsi="Arial" w:cs="Arial"/>
          <w:sz w:val="22"/>
          <w:szCs w:val="22"/>
        </w:rPr>
      </w:pPr>
      <w:r w:rsidRPr="002D6AEA">
        <w:rPr>
          <w:rFonts w:ascii="Arial" w:hAnsi="Arial" w:cs="Arial"/>
          <w:sz w:val="22"/>
          <w:szCs w:val="22"/>
        </w:rPr>
        <w:t>Plan de choque para la economía de los cuidados y refuerzo de las políticas de</w:t>
      </w:r>
      <w:r w:rsidR="00C53B2C">
        <w:rPr>
          <w:rFonts w:ascii="Arial" w:hAnsi="Arial" w:cs="Arial"/>
          <w:sz w:val="22"/>
          <w:szCs w:val="22"/>
        </w:rPr>
        <w:t xml:space="preserve"> igualdad </w:t>
      </w:r>
      <w:r w:rsidR="00E82778">
        <w:rPr>
          <w:rFonts w:ascii="Arial" w:hAnsi="Arial" w:cs="Arial"/>
          <w:sz w:val="22"/>
          <w:szCs w:val="22"/>
        </w:rPr>
        <w:t xml:space="preserve">e </w:t>
      </w:r>
      <w:r w:rsidR="00E82778" w:rsidRPr="002D6AEA">
        <w:rPr>
          <w:rFonts w:ascii="Arial" w:hAnsi="Arial" w:cs="Arial"/>
          <w:sz w:val="22"/>
          <w:szCs w:val="22"/>
        </w:rPr>
        <w:t>inclusión</w:t>
      </w:r>
      <w:r w:rsidR="00C53B2C">
        <w:rPr>
          <w:rFonts w:ascii="Arial" w:hAnsi="Arial" w:cs="Arial"/>
          <w:sz w:val="22"/>
          <w:szCs w:val="22"/>
        </w:rPr>
        <w:t>.</w:t>
      </w:r>
    </w:p>
    <w:p w:rsidR="002D6AEA" w:rsidRPr="00517824" w:rsidRDefault="002D6AEA" w:rsidP="002D6AEA">
      <w:pPr>
        <w:spacing w:before="120" w:after="120" w:line="360" w:lineRule="exact"/>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2</w:t>
      </w:r>
      <w:r w:rsidR="00E82778" w:rsidRPr="00517824">
        <w:rPr>
          <w:rFonts w:ascii="Arial" w:hAnsi="Arial" w:cs="Arial"/>
          <w:b/>
          <w:sz w:val="22"/>
          <w:szCs w:val="22"/>
        </w:rPr>
        <w:t>. DESCRIPCIÓN GENERAL DEL COMPONENTE</w:t>
      </w:r>
    </w:p>
    <w:p w:rsidR="00991697" w:rsidRDefault="002D6AEA" w:rsidP="00CD1E9D">
      <w:pPr>
        <w:spacing w:before="120" w:after="120" w:line="360" w:lineRule="exact"/>
        <w:ind w:firstLine="708"/>
        <w:jc w:val="both"/>
        <w:rPr>
          <w:rFonts w:ascii="Arial" w:hAnsi="Arial" w:cs="Arial"/>
          <w:sz w:val="22"/>
          <w:szCs w:val="22"/>
        </w:rPr>
      </w:pPr>
      <w:r w:rsidRPr="002D6AEA">
        <w:rPr>
          <w:rFonts w:ascii="Arial" w:hAnsi="Arial" w:cs="Arial"/>
          <w:sz w:val="22"/>
          <w:szCs w:val="22"/>
        </w:rPr>
        <w:t>El principal objetivo de este componente es la modernización y el fortalecimiento de los servicios sociales y las políticas de inclusión social. Pone especial énfasis en el modelo de atención de larga duración, con el objetivo de dar respuesta a la creciente demanda de diferentes servicios por el envejecimiento de la población, promoviendo la innovación y un modelo de atención centrado en las personas y centrado en una estrategia de desinstitucionalización.</w:t>
      </w:r>
    </w:p>
    <w:p w:rsidR="002D6AEA" w:rsidRPr="00517824" w:rsidRDefault="002D6AEA" w:rsidP="002D6AEA">
      <w:pPr>
        <w:spacing w:before="120" w:after="120" w:line="360" w:lineRule="exact"/>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3. </w:t>
      </w:r>
      <w:r w:rsidR="00E82778" w:rsidRPr="00517824">
        <w:rPr>
          <w:rFonts w:ascii="Arial" w:hAnsi="Arial" w:cs="Arial"/>
          <w:b/>
          <w:sz w:val="22"/>
          <w:szCs w:val="22"/>
        </w:rPr>
        <w:t>PRINCIPALES OBJETIVOS DEL COMPONENTE</w:t>
      </w:r>
    </w:p>
    <w:p w:rsidR="00517824" w:rsidRDefault="002D6AEA" w:rsidP="00CD1E9D">
      <w:pPr>
        <w:spacing w:before="120" w:after="120" w:line="360" w:lineRule="exact"/>
        <w:ind w:firstLine="708"/>
        <w:jc w:val="both"/>
        <w:rPr>
          <w:rFonts w:ascii="Arial" w:hAnsi="Arial" w:cs="Arial"/>
          <w:sz w:val="22"/>
          <w:szCs w:val="22"/>
        </w:rPr>
      </w:pPr>
      <w:r w:rsidRPr="002D6AEA">
        <w:rPr>
          <w:rFonts w:ascii="Arial" w:hAnsi="Arial" w:cs="Arial"/>
          <w:sz w:val="22"/>
          <w:szCs w:val="22"/>
        </w:rPr>
        <w:t xml:space="preserve">El principal objetivo de la Inversión 5 del </w:t>
      </w:r>
      <w:r>
        <w:rPr>
          <w:rFonts w:ascii="Arial" w:hAnsi="Arial" w:cs="Arial"/>
          <w:sz w:val="22"/>
          <w:szCs w:val="22"/>
        </w:rPr>
        <w:t>C</w:t>
      </w:r>
      <w:r w:rsidRPr="002D6AEA">
        <w:rPr>
          <w:rFonts w:ascii="Arial" w:hAnsi="Arial" w:cs="Arial"/>
          <w:sz w:val="22"/>
          <w:szCs w:val="22"/>
        </w:rPr>
        <w:t>omponente 22 es incrementar la capacidad del sistema de acogida para solicitantes de protección internacional en al menos 5.700 plazas respecto a 2019 en los Centros de Migraciones que dependen del Ministerio de Inclusión, Seguridad Social y Migraciones.</w:t>
      </w:r>
    </w:p>
    <w:p w:rsidR="002D6AEA" w:rsidRPr="00517824" w:rsidRDefault="002D6AEA" w:rsidP="002D6AEA">
      <w:pPr>
        <w:spacing w:before="120" w:after="120" w:line="360" w:lineRule="exact"/>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4. </w:t>
      </w:r>
      <w:r w:rsidR="00E82778" w:rsidRPr="00517824">
        <w:rPr>
          <w:rFonts w:ascii="Arial" w:hAnsi="Arial" w:cs="Arial"/>
          <w:b/>
          <w:sz w:val="22"/>
          <w:szCs w:val="22"/>
        </w:rPr>
        <w:t>DESCRIPCIÓN DE LA INVERSIÓN</w:t>
      </w:r>
    </w:p>
    <w:p w:rsidR="002D6AEA" w:rsidRPr="002D6AEA" w:rsidRDefault="002D6AEA" w:rsidP="00CD1E9D">
      <w:pPr>
        <w:spacing w:before="120" w:after="120" w:line="360" w:lineRule="exact"/>
        <w:ind w:firstLine="708"/>
        <w:jc w:val="both"/>
        <w:rPr>
          <w:rFonts w:ascii="Arial" w:hAnsi="Arial" w:cs="Arial"/>
          <w:sz w:val="22"/>
          <w:szCs w:val="22"/>
        </w:rPr>
      </w:pPr>
      <w:r w:rsidRPr="002D6AEA">
        <w:rPr>
          <w:rFonts w:ascii="Arial" w:hAnsi="Arial" w:cs="Arial"/>
          <w:sz w:val="22"/>
          <w:szCs w:val="22"/>
        </w:rPr>
        <w:t>Con la inversión 5 del componente 22 se pretende incrementar la capacidad y eficiencia del sistema de acogida para solicitantes de protección internacional mediante la inversión directa del estado en la red pública de acogida. Las inversiones incluyen una evaluación de las necesidades del sistema para los próximos tres años, rehabilitación y modernización de los centros actuales e inversiones en adquisición, construcción y nuevos edificios.</w:t>
      </w:r>
    </w:p>
    <w:p w:rsidR="00517824" w:rsidRDefault="002D6AEA" w:rsidP="00CD1E9D">
      <w:pPr>
        <w:spacing w:before="120" w:after="120" w:line="360" w:lineRule="exact"/>
        <w:ind w:firstLine="708"/>
        <w:jc w:val="both"/>
        <w:rPr>
          <w:rFonts w:ascii="Arial" w:hAnsi="Arial" w:cs="Arial"/>
          <w:sz w:val="22"/>
          <w:szCs w:val="22"/>
        </w:rPr>
      </w:pPr>
      <w:r w:rsidRPr="002D6AEA">
        <w:rPr>
          <w:rFonts w:ascii="Arial" w:hAnsi="Arial" w:cs="Arial"/>
          <w:sz w:val="22"/>
          <w:szCs w:val="22"/>
        </w:rPr>
        <w:t>La inversión también incluirá la digitalización de los centros y el desarrollo de una nueva arquitectura digital que mejore su gestión y facilite la ubicación de los solicitantes de protección internacional.</w:t>
      </w:r>
    </w:p>
    <w:p w:rsidR="002D6AEA" w:rsidRPr="00517824" w:rsidRDefault="002D6AEA" w:rsidP="002D6AEA">
      <w:pPr>
        <w:spacing w:before="120" w:after="120" w:line="360" w:lineRule="exact"/>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5. </w:t>
      </w:r>
      <w:r w:rsidR="00E82778" w:rsidRPr="00517824">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0" w:type="auto"/>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517824" w:rsidRPr="00517824" w:rsidTr="00A06941">
        <w:trPr>
          <w:trHeight w:val="337"/>
          <w:tblHeader/>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Periodificación</w:t>
            </w:r>
          </w:p>
        </w:tc>
        <w:tc>
          <w:tcPr>
            <w:tcW w:w="103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2020</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2021</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2022</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2023</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2024</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2025</w:t>
            </w:r>
          </w:p>
        </w:tc>
        <w:tc>
          <w:tcPr>
            <w:tcW w:w="953"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2026</w:t>
            </w:r>
          </w:p>
        </w:tc>
        <w:tc>
          <w:tcPr>
            <w:tcW w:w="1021"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Total</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Coste del Mecanismo</w:t>
            </w:r>
          </w:p>
        </w:tc>
        <w:tc>
          <w:tcPr>
            <w:tcW w:w="1037" w:type="dxa"/>
            <w:vAlign w:val="center"/>
          </w:tcPr>
          <w:p w:rsidR="00517824" w:rsidRPr="00CA5DBC" w:rsidRDefault="00517824" w:rsidP="00517824">
            <w:pPr>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988" w:type="dxa"/>
            <w:vAlign w:val="center"/>
          </w:tcPr>
          <w:p w:rsidR="00517824" w:rsidRPr="00CA5DBC" w:rsidRDefault="00087AC9" w:rsidP="00517824">
            <w:pPr>
              <w:ind w:left="-83"/>
              <w:jc w:val="right"/>
              <w:rPr>
                <w:rFonts w:ascii="Arial" w:hAnsi="Arial" w:cs="Arial"/>
                <w:noProof/>
                <w:sz w:val="12"/>
                <w:szCs w:val="12"/>
              </w:rPr>
            </w:pPr>
            <w:r w:rsidRPr="00087AC9">
              <w:rPr>
                <w:rFonts w:ascii="Arial" w:hAnsi="Arial" w:cs="Arial"/>
                <w:noProof/>
                <w:sz w:val="12"/>
                <w:szCs w:val="12"/>
              </w:rPr>
              <w:t>41.000,00</w:t>
            </w:r>
          </w:p>
        </w:tc>
        <w:tc>
          <w:tcPr>
            <w:tcW w:w="987" w:type="dxa"/>
            <w:vAlign w:val="center"/>
          </w:tcPr>
          <w:p w:rsidR="00517824" w:rsidRPr="00CA5DBC" w:rsidRDefault="00087AC9" w:rsidP="00517824">
            <w:pPr>
              <w:ind w:left="-83"/>
              <w:jc w:val="right"/>
              <w:rPr>
                <w:rFonts w:ascii="Arial" w:hAnsi="Arial" w:cs="Arial"/>
                <w:noProof/>
                <w:sz w:val="12"/>
                <w:szCs w:val="12"/>
              </w:rPr>
            </w:pPr>
            <w:r w:rsidRPr="00087AC9">
              <w:rPr>
                <w:rFonts w:ascii="Arial" w:hAnsi="Arial" w:cs="Arial"/>
                <w:noProof/>
                <w:sz w:val="12"/>
                <w:szCs w:val="12"/>
              </w:rPr>
              <w:t>61.000,00</w:t>
            </w:r>
          </w:p>
        </w:tc>
        <w:tc>
          <w:tcPr>
            <w:tcW w:w="987" w:type="dxa"/>
            <w:vAlign w:val="center"/>
          </w:tcPr>
          <w:p w:rsidR="00517824" w:rsidRPr="00CA5DBC" w:rsidRDefault="00087AC9" w:rsidP="00517824">
            <w:pPr>
              <w:ind w:left="-83"/>
              <w:jc w:val="right"/>
              <w:rPr>
                <w:rFonts w:ascii="Arial" w:hAnsi="Arial" w:cs="Arial"/>
                <w:noProof/>
                <w:sz w:val="12"/>
                <w:szCs w:val="12"/>
              </w:rPr>
            </w:pPr>
            <w:r w:rsidRPr="00087AC9">
              <w:rPr>
                <w:rFonts w:ascii="Arial" w:hAnsi="Arial" w:cs="Arial"/>
                <w:noProof/>
                <w:sz w:val="12"/>
                <w:szCs w:val="12"/>
              </w:rPr>
              <w:t>88.000,00</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087AC9" w:rsidP="00517824">
            <w:pPr>
              <w:ind w:left="-83"/>
              <w:jc w:val="right"/>
              <w:rPr>
                <w:rFonts w:ascii="Arial" w:hAnsi="Arial" w:cs="Arial"/>
                <w:noProof/>
                <w:sz w:val="12"/>
                <w:szCs w:val="12"/>
              </w:rPr>
            </w:pPr>
            <w:r w:rsidRPr="00087AC9">
              <w:rPr>
                <w:rFonts w:ascii="Arial" w:hAnsi="Arial" w:cs="Arial"/>
                <w:noProof/>
                <w:sz w:val="12"/>
                <w:szCs w:val="12"/>
              </w:rPr>
              <w:t>190.000,00</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Otra financiación</w:t>
            </w:r>
          </w:p>
        </w:tc>
        <w:tc>
          <w:tcPr>
            <w:tcW w:w="103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Total</w:t>
            </w:r>
          </w:p>
        </w:tc>
        <w:tc>
          <w:tcPr>
            <w:tcW w:w="103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087AC9" w:rsidP="00517824">
            <w:pPr>
              <w:ind w:left="-83"/>
              <w:jc w:val="right"/>
              <w:rPr>
                <w:rFonts w:ascii="Arial" w:hAnsi="Arial" w:cs="Arial"/>
                <w:noProof/>
                <w:sz w:val="12"/>
                <w:szCs w:val="12"/>
              </w:rPr>
            </w:pPr>
            <w:r w:rsidRPr="00087AC9">
              <w:rPr>
                <w:rFonts w:ascii="Arial" w:hAnsi="Arial" w:cs="Arial"/>
                <w:noProof/>
                <w:sz w:val="12"/>
                <w:szCs w:val="12"/>
              </w:rPr>
              <w:t>41.000,00</w:t>
            </w:r>
          </w:p>
        </w:tc>
        <w:tc>
          <w:tcPr>
            <w:tcW w:w="987" w:type="dxa"/>
            <w:vAlign w:val="center"/>
          </w:tcPr>
          <w:p w:rsidR="00517824" w:rsidRPr="00CA5DBC" w:rsidRDefault="00087AC9" w:rsidP="00517824">
            <w:pPr>
              <w:ind w:left="-83"/>
              <w:jc w:val="right"/>
              <w:rPr>
                <w:rFonts w:ascii="Arial" w:hAnsi="Arial" w:cs="Arial"/>
                <w:noProof/>
                <w:sz w:val="12"/>
                <w:szCs w:val="12"/>
              </w:rPr>
            </w:pPr>
            <w:r w:rsidRPr="00087AC9">
              <w:rPr>
                <w:rFonts w:ascii="Arial" w:hAnsi="Arial" w:cs="Arial"/>
                <w:noProof/>
                <w:sz w:val="12"/>
                <w:szCs w:val="12"/>
              </w:rPr>
              <w:t>61.000,00</w:t>
            </w:r>
          </w:p>
        </w:tc>
        <w:tc>
          <w:tcPr>
            <w:tcW w:w="987" w:type="dxa"/>
            <w:vAlign w:val="center"/>
          </w:tcPr>
          <w:p w:rsidR="00517824" w:rsidRPr="00CA5DBC" w:rsidRDefault="00087AC9" w:rsidP="00517824">
            <w:pPr>
              <w:ind w:left="-83"/>
              <w:jc w:val="right"/>
              <w:rPr>
                <w:rFonts w:ascii="Arial" w:hAnsi="Arial" w:cs="Arial"/>
                <w:noProof/>
                <w:sz w:val="12"/>
                <w:szCs w:val="12"/>
              </w:rPr>
            </w:pPr>
            <w:r w:rsidRPr="00087AC9">
              <w:rPr>
                <w:rFonts w:ascii="Arial" w:hAnsi="Arial" w:cs="Arial"/>
                <w:noProof/>
                <w:sz w:val="12"/>
                <w:szCs w:val="12"/>
              </w:rPr>
              <w:t>88.000,00</w:t>
            </w:r>
          </w:p>
        </w:tc>
        <w:tc>
          <w:tcPr>
            <w:tcW w:w="987"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88"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953" w:type="dxa"/>
            <w:vAlign w:val="center"/>
          </w:tcPr>
          <w:p w:rsidR="00517824" w:rsidRPr="00CA5DBC" w:rsidRDefault="00517824" w:rsidP="00517824">
            <w:pPr>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1021" w:type="dxa"/>
            <w:vAlign w:val="center"/>
          </w:tcPr>
          <w:p w:rsidR="00517824" w:rsidRPr="00CA5DBC" w:rsidRDefault="00087AC9" w:rsidP="00517824">
            <w:pPr>
              <w:ind w:left="-83"/>
              <w:jc w:val="right"/>
              <w:rPr>
                <w:rFonts w:ascii="Arial" w:hAnsi="Arial" w:cs="Arial"/>
                <w:noProof/>
                <w:sz w:val="12"/>
                <w:szCs w:val="12"/>
              </w:rPr>
            </w:pPr>
            <w:r w:rsidRPr="00087AC9">
              <w:rPr>
                <w:rFonts w:ascii="Arial" w:hAnsi="Arial" w:cs="Arial"/>
                <w:noProof/>
                <w:sz w:val="12"/>
                <w:szCs w:val="12"/>
              </w:rPr>
              <w:t>190.000,00</w:t>
            </w:r>
          </w:p>
        </w:tc>
      </w:tr>
    </w:tbl>
    <w:p w:rsidR="00517824" w:rsidRDefault="00517824" w:rsidP="008B3CA0">
      <w:pPr>
        <w:spacing w:before="100"/>
        <w:rPr>
          <w:rFonts w:ascii="Arial" w:hAnsi="Arial" w:cs="Arial"/>
          <w:sz w:val="22"/>
          <w:szCs w:val="22"/>
        </w:rPr>
      </w:pPr>
    </w:p>
    <w:p w:rsidR="00C53B2C" w:rsidRPr="00517824" w:rsidRDefault="00C53B2C"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6. </w:t>
      </w:r>
      <w:r w:rsidR="00E82778" w:rsidRPr="00517824">
        <w:rPr>
          <w:rFonts w:ascii="Arial" w:hAnsi="Arial" w:cs="Arial"/>
          <w:b/>
          <w:sz w:val="22"/>
          <w:szCs w:val="22"/>
        </w:rPr>
        <w:t xml:space="preserve">HITOS Y OBJETIVOS DE LA INVERSIÓN </w:t>
      </w:r>
    </w:p>
    <w:p w:rsidR="00517824" w:rsidRPr="0054608E" w:rsidRDefault="0054608E" w:rsidP="0054608E">
      <w:pPr>
        <w:pStyle w:val="Prrafodelista"/>
        <w:numPr>
          <w:ilvl w:val="0"/>
          <w:numId w:val="4"/>
        </w:numPr>
        <w:spacing w:before="120" w:after="120" w:line="360" w:lineRule="exact"/>
        <w:jc w:val="both"/>
        <w:rPr>
          <w:rFonts w:ascii="Arial" w:hAnsi="Arial" w:cs="Arial"/>
          <w:sz w:val="22"/>
          <w:szCs w:val="22"/>
        </w:rPr>
      </w:pPr>
      <w:r>
        <w:rPr>
          <w:rFonts w:ascii="Arial" w:hAnsi="Arial" w:cs="Arial"/>
          <w:sz w:val="22"/>
          <w:szCs w:val="22"/>
        </w:rPr>
        <w:t>Ampliar</w:t>
      </w:r>
      <w:r w:rsidRPr="0054608E">
        <w:rPr>
          <w:rFonts w:ascii="Arial" w:hAnsi="Arial" w:cs="Arial"/>
          <w:sz w:val="22"/>
          <w:szCs w:val="22"/>
        </w:rPr>
        <w:t xml:space="preserve"> la capacidad de acogida del Sistema de Acogida e Integración para solicitantes y beneficiarios de protección internacional, incrementando el número de plazas públicas del sistema en al menos 5.700 plazas, respecto de las existentes a 31 de diciembre de 2019 (2024 – Q4)</w:t>
      </w:r>
      <w:r w:rsidR="00C53B2C">
        <w:rPr>
          <w:rFonts w:ascii="Arial" w:hAnsi="Arial" w:cs="Arial"/>
          <w:sz w:val="22"/>
          <w:szCs w:val="22"/>
        </w:rPr>
        <w:t>.</w:t>
      </w:r>
    </w:p>
    <w:p w:rsidR="008620A4" w:rsidRDefault="008620A4" w:rsidP="008B3CA0">
      <w:pPr>
        <w:rPr>
          <w:rFonts w:ascii="Arial" w:hAnsi="Arial" w:cs="Arial"/>
          <w:sz w:val="22"/>
          <w:szCs w:val="22"/>
        </w:rPr>
      </w:pPr>
    </w:p>
    <w:p w:rsidR="008B3CA0" w:rsidRPr="00517824" w:rsidRDefault="008B3CA0" w:rsidP="008B3CA0"/>
    <w:sectPr w:rsidR="008B3CA0" w:rsidRPr="0051782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B380F89"/>
    <w:multiLevelType w:val="hybridMultilevel"/>
    <w:tmpl w:val="7034E8B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87AC9"/>
    <w:rsid w:val="000A1311"/>
    <w:rsid w:val="000C68A4"/>
    <w:rsid w:val="000F3FBB"/>
    <w:rsid w:val="001A5F87"/>
    <w:rsid w:val="001B34B9"/>
    <w:rsid w:val="002D6AEA"/>
    <w:rsid w:val="002F0C59"/>
    <w:rsid w:val="003154A2"/>
    <w:rsid w:val="003208C4"/>
    <w:rsid w:val="00343745"/>
    <w:rsid w:val="00382F6E"/>
    <w:rsid w:val="003A7E9B"/>
    <w:rsid w:val="003D56D8"/>
    <w:rsid w:val="0046397C"/>
    <w:rsid w:val="00517824"/>
    <w:rsid w:val="0054608E"/>
    <w:rsid w:val="00564761"/>
    <w:rsid w:val="005B477A"/>
    <w:rsid w:val="005C4BF4"/>
    <w:rsid w:val="006F018F"/>
    <w:rsid w:val="007B6373"/>
    <w:rsid w:val="007E37FC"/>
    <w:rsid w:val="007F3B1F"/>
    <w:rsid w:val="008076C5"/>
    <w:rsid w:val="008476C0"/>
    <w:rsid w:val="008620A4"/>
    <w:rsid w:val="00896E40"/>
    <w:rsid w:val="008B3CA0"/>
    <w:rsid w:val="008B6C42"/>
    <w:rsid w:val="008D6462"/>
    <w:rsid w:val="008F0C79"/>
    <w:rsid w:val="0093453B"/>
    <w:rsid w:val="00952F88"/>
    <w:rsid w:val="00972E0B"/>
    <w:rsid w:val="00991697"/>
    <w:rsid w:val="009A64D7"/>
    <w:rsid w:val="009A7074"/>
    <w:rsid w:val="00A06941"/>
    <w:rsid w:val="00A32DF7"/>
    <w:rsid w:val="00A44DEA"/>
    <w:rsid w:val="00A9503D"/>
    <w:rsid w:val="00AE318F"/>
    <w:rsid w:val="00B30BB6"/>
    <w:rsid w:val="00B6769D"/>
    <w:rsid w:val="00B80D92"/>
    <w:rsid w:val="00BB64BC"/>
    <w:rsid w:val="00BE5B5A"/>
    <w:rsid w:val="00C5280D"/>
    <w:rsid w:val="00C53B2C"/>
    <w:rsid w:val="00C87CB2"/>
    <w:rsid w:val="00CA5DBC"/>
    <w:rsid w:val="00CB75ED"/>
    <w:rsid w:val="00CD1E9D"/>
    <w:rsid w:val="00D46D8D"/>
    <w:rsid w:val="00E82778"/>
    <w:rsid w:val="00ED092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B35E1-7479-43AD-9826-646CAE0D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366</Words>
  <Characters>2287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Limón Vázquez, Rocío</cp:lastModifiedBy>
  <cp:revision>9</cp:revision>
  <cp:lastPrinted>2021-06-09T11:44:00Z</cp:lastPrinted>
  <dcterms:created xsi:type="dcterms:W3CDTF">2021-09-03T18:37:00Z</dcterms:created>
  <dcterms:modified xsi:type="dcterms:W3CDTF">2022-06-13T11:10:00Z</dcterms:modified>
</cp:coreProperties>
</file>